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ayout w:type="fixed"/>
        <w:tblLook w:val="0000"/>
      </w:tblPr>
      <w:tblGrid>
        <w:gridCol w:w="419"/>
        <w:gridCol w:w="3484"/>
        <w:gridCol w:w="458"/>
        <w:gridCol w:w="5359"/>
      </w:tblGrid>
      <w:tr w:rsidR="00E27F60" w:rsidTr="0057439D">
        <w:trPr>
          <w:cantSplit/>
          <w:trHeight w:val="898"/>
        </w:trPr>
        <w:tc>
          <w:tcPr>
            <w:tcW w:w="4361" w:type="dxa"/>
            <w:gridSpan w:val="3"/>
            <w:vMerge w:val="restart"/>
          </w:tcPr>
          <w:p w:rsidR="00E27F60" w:rsidRDefault="00E27F60" w:rsidP="0057439D">
            <w:pPr>
              <w:ind w:left="-288"/>
              <w:jc w:val="center"/>
              <w:rPr>
                <w:sz w:val="28"/>
              </w:rPr>
            </w:pPr>
          </w:p>
          <w:p w:rsidR="00E27F60" w:rsidRDefault="00E27F60" w:rsidP="0057439D">
            <w:pPr>
              <w:ind w:left="-288"/>
              <w:jc w:val="center"/>
              <w:rPr>
                <w:sz w:val="16"/>
              </w:rPr>
            </w:pPr>
          </w:p>
        </w:tc>
        <w:tc>
          <w:tcPr>
            <w:tcW w:w="5359" w:type="dxa"/>
          </w:tcPr>
          <w:p w:rsidR="00E27F60" w:rsidRDefault="00E27F60" w:rsidP="0057439D">
            <w:pPr>
              <w:spacing w:line="240" w:lineRule="exact"/>
              <w:ind w:left="-581"/>
              <w:rPr>
                <w:sz w:val="28"/>
                <w:szCs w:val="28"/>
              </w:rPr>
            </w:pPr>
            <w:r>
              <w:rPr>
                <w:sz w:val="28"/>
                <w:szCs w:val="28"/>
              </w:rPr>
              <w:t xml:space="preserve">        Прокуратура Кабардино-Балкарской</w:t>
            </w:r>
          </w:p>
          <w:p w:rsidR="00E27F60" w:rsidRDefault="00E27F60" w:rsidP="0057439D">
            <w:pPr>
              <w:ind w:left="-581" w:right="-108"/>
              <w:rPr>
                <w:sz w:val="28"/>
                <w:szCs w:val="28"/>
              </w:rPr>
            </w:pPr>
            <w:r>
              <w:rPr>
                <w:sz w:val="28"/>
                <w:szCs w:val="28"/>
              </w:rPr>
              <w:t xml:space="preserve">        Республики</w:t>
            </w:r>
          </w:p>
          <w:p w:rsidR="00E27F60" w:rsidRDefault="00E27F60" w:rsidP="0057439D">
            <w:pPr>
              <w:ind w:left="-288" w:right="-108"/>
              <w:rPr>
                <w:sz w:val="28"/>
                <w:szCs w:val="28"/>
              </w:rPr>
            </w:pPr>
          </w:p>
        </w:tc>
      </w:tr>
      <w:tr w:rsidR="00E27F60" w:rsidTr="0057439D">
        <w:trPr>
          <w:cantSplit/>
          <w:trHeight w:val="285"/>
        </w:trPr>
        <w:tc>
          <w:tcPr>
            <w:tcW w:w="4361" w:type="dxa"/>
            <w:gridSpan w:val="3"/>
            <w:vMerge/>
            <w:vAlign w:val="center"/>
          </w:tcPr>
          <w:p w:rsidR="00E27F60" w:rsidRDefault="00E27F60" w:rsidP="0057439D">
            <w:pPr>
              <w:rPr>
                <w:sz w:val="16"/>
              </w:rPr>
            </w:pPr>
          </w:p>
        </w:tc>
        <w:tc>
          <w:tcPr>
            <w:tcW w:w="5359" w:type="dxa"/>
            <w:vMerge w:val="restart"/>
          </w:tcPr>
          <w:p w:rsidR="00E27F60" w:rsidRPr="00D73415" w:rsidRDefault="00E27F60" w:rsidP="0057439D">
            <w:pPr>
              <w:spacing w:line="240" w:lineRule="exact"/>
              <w:ind w:right="-108"/>
              <w:rPr>
                <w:sz w:val="28"/>
                <w:szCs w:val="28"/>
                <w:lang w:eastAsia="en-US"/>
              </w:rPr>
            </w:pPr>
            <w:r w:rsidRPr="00D73415">
              <w:rPr>
                <w:sz w:val="28"/>
                <w:szCs w:val="28"/>
                <w:lang w:eastAsia="en-US"/>
              </w:rPr>
              <w:t xml:space="preserve">Начальнику отдела по надзору за </w:t>
            </w:r>
          </w:p>
          <w:p w:rsidR="00E27F60" w:rsidRPr="00D73415" w:rsidRDefault="00E27F60" w:rsidP="0057439D">
            <w:pPr>
              <w:spacing w:after="160" w:line="240" w:lineRule="exact"/>
              <w:ind w:right="-108"/>
              <w:rPr>
                <w:sz w:val="28"/>
                <w:szCs w:val="28"/>
                <w:lang w:eastAsia="en-US"/>
              </w:rPr>
            </w:pPr>
            <w:r w:rsidRPr="00D73415">
              <w:rPr>
                <w:sz w:val="28"/>
                <w:szCs w:val="28"/>
                <w:lang w:eastAsia="en-US"/>
              </w:rPr>
              <w:t xml:space="preserve">исполнением федерального </w:t>
            </w:r>
            <w:r>
              <w:rPr>
                <w:sz w:val="28"/>
                <w:szCs w:val="28"/>
                <w:lang w:eastAsia="en-US"/>
              </w:rPr>
              <w:t xml:space="preserve">       </w:t>
            </w:r>
            <w:r w:rsidRPr="00D73415">
              <w:rPr>
                <w:sz w:val="28"/>
                <w:szCs w:val="28"/>
                <w:lang w:eastAsia="en-US"/>
              </w:rPr>
              <w:t xml:space="preserve">законодательства </w:t>
            </w:r>
          </w:p>
          <w:p w:rsidR="00E27F60" w:rsidRPr="00D73415" w:rsidRDefault="00E27F60" w:rsidP="0057439D">
            <w:pPr>
              <w:tabs>
                <w:tab w:val="left" w:pos="2008"/>
              </w:tabs>
              <w:spacing w:line="240" w:lineRule="exact"/>
              <w:ind w:right="-108"/>
              <w:jc w:val="both"/>
              <w:rPr>
                <w:sz w:val="28"/>
                <w:szCs w:val="28"/>
              </w:rPr>
            </w:pPr>
            <w:r>
              <w:rPr>
                <w:sz w:val="28"/>
                <w:szCs w:val="28"/>
              </w:rPr>
              <w:t>ст</w:t>
            </w:r>
            <w:r w:rsidRPr="00D73415">
              <w:rPr>
                <w:sz w:val="28"/>
                <w:szCs w:val="28"/>
              </w:rPr>
              <w:t xml:space="preserve">аршему советнику юстиции </w:t>
            </w:r>
          </w:p>
          <w:p w:rsidR="00E27F60" w:rsidRPr="00D73415" w:rsidRDefault="00E27F60" w:rsidP="0057439D">
            <w:pPr>
              <w:tabs>
                <w:tab w:val="left" w:pos="2008"/>
              </w:tabs>
              <w:spacing w:line="240" w:lineRule="exact"/>
              <w:ind w:right="-108"/>
              <w:jc w:val="both"/>
              <w:rPr>
                <w:sz w:val="28"/>
                <w:szCs w:val="28"/>
              </w:rPr>
            </w:pPr>
          </w:p>
          <w:p w:rsidR="00E27F60" w:rsidRDefault="00E27F60" w:rsidP="0057439D">
            <w:pPr>
              <w:tabs>
                <w:tab w:val="left" w:pos="2008"/>
              </w:tabs>
              <w:spacing w:line="240" w:lineRule="exact"/>
              <w:ind w:right="-108"/>
              <w:jc w:val="both"/>
              <w:rPr>
                <w:sz w:val="28"/>
                <w:szCs w:val="28"/>
              </w:rPr>
            </w:pPr>
            <w:r>
              <w:rPr>
                <w:sz w:val="28"/>
                <w:szCs w:val="28"/>
              </w:rPr>
              <w:t>С</w:t>
            </w:r>
            <w:r w:rsidRPr="00D73415">
              <w:rPr>
                <w:sz w:val="28"/>
                <w:szCs w:val="28"/>
              </w:rPr>
              <w:t>анарову А.Л.</w:t>
            </w:r>
          </w:p>
        </w:tc>
      </w:tr>
      <w:tr w:rsidR="00E27F60" w:rsidTr="0057439D">
        <w:trPr>
          <w:cantSplit/>
          <w:trHeight w:val="1830"/>
        </w:trPr>
        <w:tc>
          <w:tcPr>
            <w:tcW w:w="419" w:type="dxa"/>
          </w:tcPr>
          <w:p w:rsidR="00E27F60" w:rsidRDefault="00E27F60" w:rsidP="0057439D">
            <w:pPr>
              <w:spacing w:line="240" w:lineRule="atLeast"/>
              <w:ind w:left="-288" w:right="-108"/>
              <w:jc w:val="center"/>
              <w:rPr>
                <w:sz w:val="16"/>
              </w:rPr>
            </w:pPr>
          </w:p>
          <w:p w:rsidR="00E27F60" w:rsidRDefault="00E27F60" w:rsidP="0057439D">
            <w:pPr>
              <w:ind w:left="-288" w:right="-108"/>
              <w:jc w:val="center"/>
              <w:rPr>
                <w:sz w:val="16"/>
              </w:rPr>
            </w:pPr>
          </w:p>
          <w:p w:rsidR="00E27F60" w:rsidRDefault="00E27F60" w:rsidP="0057439D">
            <w:pPr>
              <w:ind w:left="-288" w:right="-108"/>
              <w:jc w:val="center"/>
              <w:rPr>
                <w:sz w:val="10"/>
              </w:rPr>
            </w:pPr>
          </w:p>
          <w:p w:rsidR="00E27F60" w:rsidRDefault="00E27F60" w:rsidP="0057439D">
            <w:pPr>
              <w:ind w:left="-288" w:right="-108"/>
              <w:jc w:val="center"/>
              <w:rPr>
                <w:sz w:val="28"/>
              </w:rPr>
            </w:pPr>
          </w:p>
          <w:p w:rsidR="00E27F60" w:rsidRDefault="00E27F60" w:rsidP="0057439D">
            <w:pPr>
              <w:ind w:left="-288" w:right="-108"/>
              <w:jc w:val="center"/>
            </w:pPr>
          </w:p>
        </w:tc>
        <w:tc>
          <w:tcPr>
            <w:tcW w:w="3484" w:type="dxa"/>
          </w:tcPr>
          <w:p w:rsidR="00E27F60" w:rsidRDefault="00E27F60" w:rsidP="0057439D">
            <w:pPr>
              <w:ind w:left="-288" w:right="-108"/>
            </w:pPr>
          </w:p>
        </w:tc>
        <w:tc>
          <w:tcPr>
            <w:tcW w:w="458" w:type="dxa"/>
          </w:tcPr>
          <w:p w:rsidR="00E27F60" w:rsidRDefault="00E27F60" w:rsidP="0057439D">
            <w:pPr>
              <w:spacing w:line="240" w:lineRule="atLeast"/>
              <w:ind w:left="-288" w:right="-108"/>
              <w:jc w:val="center"/>
            </w:pPr>
            <w:r>
              <w:t xml:space="preserve"> </w:t>
            </w:r>
          </w:p>
        </w:tc>
        <w:tc>
          <w:tcPr>
            <w:tcW w:w="5359" w:type="dxa"/>
            <w:vMerge/>
            <w:vAlign w:val="center"/>
          </w:tcPr>
          <w:p w:rsidR="00E27F60" w:rsidRDefault="00E27F60" w:rsidP="0057439D">
            <w:pPr>
              <w:rPr>
                <w:sz w:val="28"/>
                <w:szCs w:val="28"/>
              </w:rPr>
            </w:pPr>
          </w:p>
        </w:tc>
      </w:tr>
      <w:tr w:rsidR="00E27F60" w:rsidTr="0057439D">
        <w:trPr>
          <w:cantSplit/>
          <w:trHeight w:val="249"/>
        </w:trPr>
        <w:tc>
          <w:tcPr>
            <w:tcW w:w="4361" w:type="dxa"/>
            <w:gridSpan w:val="3"/>
          </w:tcPr>
          <w:p w:rsidR="00E27F60" w:rsidRDefault="00E27F60" w:rsidP="0057439D">
            <w:pPr>
              <w:tabs>
                <w:tab w:val="left" w:pos="465"/>
                <w:tab w:val="center" w:pos="2107"/>
              </w:tabs>
              <w:ind w:left="-288" w:right="-108" w:firstLine="180"/>
            </w:pPr>
            <w:r>
              <w:tab/>
            </w:r>
          </w:p>
          <w:p w:rsidR="00E27F60" w:rsidRDefault="00E27F60" w:rsidP="0057439D">
            <w:pPr>
              <w:tabs>
                <w:tab w:val="left" w:pos="465"/>
                <w:tab w:val="center" w:pos="2107"/>
              </w:tabs>
              <w:ind w:left="-288" w:right="-108" w:firstLine="180"/>
            </w:pPr>
            <w:r>
              <w:t xml:space="preserve">  </w:t>
            </w:r>
            <w:r>
              <w:tab/>
            </w:r>
          </w:p>
        </w:tc>
        <w:tc>
          <w:tcPr>
            <w:tcW w:w="5359" w:type="dxa"/>
            <w:vMerge/>
            <w:vAlign w:val="center"/>
          </w:tcPr>
          <w:p w:rsidR="00E27F60" w:rsidRDefault="00E27F60" w:rsidP="0057439D">
            <w:pPr>
              <w:rPr>
                <w:sz w:val="28"/>
                <w:szCs w:val="28"/>
              </w:rPr>
            </w:pPr>
          </w:p>
        </w:tc>
      </w:tr>
    </w:tbl>
    <w:p w:rsidR="00E27F60" w:rsidRPr="000977A0" w:rsidRDefault="00E27F60" w:rsidP="000A68F4">
      <w:pPr>
        <w:jc w:val="both"/>
        <w:rPr>
          <w:sz w:val="16"/>
          <w:szCs w:val="16"/>
        </w:rPr>
      </w:pPr>
    </w:p>
    <w:p w:rsidR="00E27F60" w:rsidRDefault="00E27F60" w:rsidP="000A68F4">
      <w:pPr>
        <w:pStyle w:val="Style7"/>
        <w:widowControl/>
        <w:tabs>
          <w:tab w:val="left" w:pos="720"/>
        </w:tabs>
        <w:spacing w:line="240" w:lineRule="auto"/>
        <w:ind w:right="-1" w:firstLine="720"/>
        <w:jc w:val="both"/>
        <w:rPr>
          <w:bCs/>
          <w:sz w:val="28"/>
          <w:szCs w:val="28"/>
        </w:rPr>
      </w:pPr>
    </w:p>
    <w:p w:rsidR="00E27F60" w:rsidRDefault="00E27F60" w:rsidP="000A68F4">
      <w:pPr>
        <w:pStyle w:val="Style7"/>
        <w:widowControl/>
        <w:tabs>
          <w:tab w:val="left" w:pos="720"/>
        </w:tabs>
        <w:spacing w:line="240" w:lineRule="auto"/>
        <w:ind w:right="-1" w:firstLine="720"/>
        <w:jc w:val="both"/>
        <w:rPr>
          <w:bCs/>
          <w:sz w:val="28"/>
          <w:szCs w:val="28"/>
        </w:rPr>
      </w:pPr>
    </w:p>
    <w:p w:rsidR="00E27F60" w:rsidRDefault="00E27F60" w:rsidP="000A68F4">
      <w:pPr>
        <w:pStyle w:val="Style7"/>
        <w:widowControl/>
        <w:tabs>
          <w:tab w:val="left" w:pos="720"/>
        </w:tabs>
        <w:spacing w:line="240" w:lineRule="auto"/>
        <w:ind w:right="-1" w:firstLine="720"/>
        <w:jc w:val="both"/>
        <w:rPr>
          <w:bCs/>
          <w:sz w:val="28"/>
          <w:szCs w:val="28"/>
        </w:rPr>
      </w:pPr>
    </w:p>
    <w:p w:rsidR="00E27F60" w:rsidRDefault="00E27F60" w:rsidP="000A68F4">
      <w:pPr>
        <w:pStyle w:val="Style7"/>
        <w:widowControl/>
        <w:tabs>
          <w:tab w:val="left" w:pos="720"/>
        </w:tabs>
        <w:spacing w:line="240" w:lineRule="auto"/>
        <w:ind w:right="-1" w:firstLine="720"/>
        <w:jc w:val="both"/>
        <w:rPr>
          <w:bCs/>
          <w:sz w:val="28"/>
          <w:szCs w:val="28"/>
        </w:rPr>
      </w:pPr>
    </w:p>
    <w:p w:rsidR="00E27F60" w:rsidRDefault="00E27F60" w:rsidP="000A68F4">
      <w:pPr>
        <w:pStyle w:val="Style7"/>
        <w:widowControl/>
        <w:tabs>
          <w:tab w:val="left" w:pos="720"/>
        </w:tabs>
        <w:spacing w:line="240" w:lineRule="auto"/>
        <w:ind w:right="-1" w:firstLine="720"/>
        <w:jc w:val="both"/>
        <w:rPr>
          <w:bCs/>
          <w:sz w:val="28"/>
          <w:szCs w:val="28"/>
        </w:rPr>
      </w:pPr>
    </w:p>
    <w:p w:rsidR="00E27F60" w:rsidRDefault="00E27F60" w:rsidP="000A68F4">
      <w:pPr>
        <w:pStyle w:val="Style7"/>
        <w:widowControl/>
        <w:tabs>
          <w:tab w:val="left" w:pos="720"/>
        </w:tabs>
        <w:spacing w:line="240" w:lineRule="auto"/>
        <w:ind w:right="-1" w:firstLine="720"/>
        <w:jc w:val="both"/>
        <w:rPr>
          <w:bCs/>
          <w:sz w:val="28"/>
          <w:szCs w:val="28"/>
        </w:rPr>
      </w:pPr>
    </w:p>
    <w:p w:rsidR="00E27F60" w:rsidRDefault="00E27F60" w:rsidP="000A68F4">
      <w:pPr>
        <w:pStyle w:val="Style7"/>
        <w:widowControl/>
        <w:tabs>
          <w:tab w:val="left" w:pos="720"/>
        </w:tabs>
        <w:spacing w:line="240" w:lineRule="auto"/>
        <w:ind w:right="-1" w:firstLine="720"/>
        <w:jc w:val="both"/>
        <w:rPr>
          <w:bCs/>
          <w:sz w:val="28"/>
          <w:szCs w:val="28"/>
        </w:rPr>
      </w:pPr>
    </w:p>
    <w:p w:rsidR="00E27F60" w:rsidRDefault="00E27F60" w:rsidP="000A68F4">
      <w:pPr>
        <w:pStyle w:val="Style7"/>
        <w:widowControl/>
        <w:tabs>
          <w:tab w:val="left" w:pos="720"/>
        </w:tabs>
        <w:spacing w:line="240" w:lineRule="auto"/>
        <w:ind w:right="-1" w:firstLine="720"/>
        <w:jc w:val="both"/>
        <w:rPr>
          <w:bCs/>
          <w:sz w:val="28"/>
          <w:szCs w:val="28"/>
        </w:rPr>
      </w:pPr>
    </w:p>
    <w:p w:rsidR="00E27F60" w:rsidRDefault="00E27F60" w:rsidP="000A68F4">
      <w:pPr>
        <w:pStyle w:val="Style7"/>
        <w:widowControl/>
        <w:tabs>
          <w:tab w:val="left" w:pos="720"/>
        </w:tabs>
        <w:spacing w:line="240" w:lineRule="auto"/>
        <w:ind w:right="-1" w:firstLine="720"/>
        <w:jc w:val="both"/>
        <w:rPr>
          <w:bCs/>
          <w:sz w:val="28"/>
          <w:szCs w:val="28"/>
        </w:rPr>
      </w:pPr>
    </w:p>
    <w:p w:rsidR="00E27F60" w:rsidRPr="00B703EE" w:rsidRDefault="00E27F60" w:rsidP="000A68F4">
      <w:pPr>
        <w:pStyle w:val="Style7"/>
        <w:widowControl/>
        <w:tabs>
          <w:tab w:val="left" w:pos="720"/>
        </w:tabs>
        <w:spacing w:line="240" w:lineRule="auto"/>
        <w:ind w:right="-1" w:firstLine="720"/>
        <w:jc w:val="both"/>
        <w:rPr>
          <w:bCs/>
          <w:sz w:val="28"/>
          <w:szCs w:val="28"/>
        </w:rPr>
      </w:pPr>
      <w:r>
        <w:rPr>
          <w:bCs/>
          <w:sz w:val="28"/>
          <w:szCs w:val="28"/>
        </w:rPr>
        <w:t>В</w:t>
      </w:r>
      <w:r w:rsidRPr="00B703EE">
        <w:rPr>
          <w:bCs/>
          <w:sz w:val="28"/>
          <w:szCs w:val="28"/>
        </w:rPr>
        <w:t xml:space="preserve">о исполнение требований приказа Генерального прокурора РФ от 02.08.2018 №471 «Об организации в органах прокуратуры российской Федерации работы по правовому просвещению и правовому информированию», </w:t>
      </w:r>
      <w:r>
        <w:rPr>
          <w:bCs/>
          <w:color w:val="000000"/>
          <w:sz w:val="28"/>
          <w:szCs w:val="28"/>
        </w:rPr>
        <w:t>в</w:t>
      </w:r>
      <w:r w:rsidRPr="00B703EE">
        <w:rPr>
          <w:bCs/>
          <w:color w:val="000000"/>
          <w:sz w:val="28"/>
          <w:szCs w:val="28"/>
        </w:rPr>
        <w:t xml:space="preserve"> соответствии с требованиями приказа прокурора Кабардино-Балкарской Республики от 16.10.2019 №68 «О взаимодействии органов прокуратуры Кабардино-Балкарской Республики со средствами массовой информации и общественностью» </w:t>
      </w:r>
      <w:r>
        <w:rPr>
          <w:bCs/>
          <w:sz w:val="28"/>
          <w:szCs w:val="28"/>
        </w:rPr>
        <w:t>направляется следующая информация для опубликования</w:t>
      </w:r>
      <w:r w:rsidRPr="00B703EE">
        <w:rPr>
          <w:bCs/>
          <w:sz w:val="28"/>
          <w:szCs w:val="28"/>
        </w:rPr>
        <w:t>:</w:t>
      </w:r>
    </w:p>
    <w:p w:rsidR="00E27F60" w:rsidRPr="005A6FDD" w:rsidRDefault="00E27F60" w:rsidP="000A68F4">
      <w:pPr>
        <w:jc w:val="both"/>
        <w:rPr>
          <w:sz w:val="28"/>
          <w:szCs w:val="28"/>
        </w:rPr>
      </w:pPr>
    </w:p>
    <w:p w:rsidR="00E27F60" w:rsidRPr="005923E7" w:rsidRDefault="00E27F60" w:rsidP="000A68F4">
      <w:pPr>
        <w:jc w:val="center"/>
        <w:rPr>
          <w:b/>
          <w:bCs/>
          <w:sz w:val="28"/>
          <w:szCs w:val="28"/>
        </w:rPr>
      </w:pPr>
      <w:r w:rsidRPr="005923E7">
        <w:rPr>
          <w:b/>
          <w:bCs/>
          <w:sz w:val="28"/>
          <w:szCs w:val="28"/>
        </w:rPr>
        <w:t>Прокуратура Прохладненского района разъясняет:</w:t>
      </w:r>
    </w:p>
    <w:p w:rsidR="00E27F60" w:rsidRDefault="00E27F60" w:rsidP="0048160A">
      <w:pPr>
        <w:pStyle w:val="Style7"/>
        <w:widowControl/>
        <w:tabs>
          <w:tab w:val="left" w:pos="720"/>
        </w:tabs>
        <w:spacing w:line="240" w:lineRule="auto"/>
        <w:ind w:right="-1" w:firstLine="720"/>
        <w:jc w:val="center"/>
        <w:rPr>
          <w:b/>
          <w:bCs/>
          <w:sz w:val="28"/>
          <w:szCs w:val="28"/>
        </w:rPr>
      </w:pPr>
      <w:r w:rsidRPr="00B3746F">
        <w:rPr>
          <w:b/>
          <w:bCs/>
          <w:sz w:val="28"/>
          <w:szCs w:val="28"/>
        </w:rPr>
        <w:t>Подписан закон, уточняющий особенности проведения выборов, референдума при военном положении</w:t>
      </w:r>
    </w:p>
    <w:p w:rsidR="00E27F60" w:rsidRPr="00B3746F" w:rsidRDefault="00E27F60" w:rsidP="0048160A">
      <w:pPr>
        <w:pStyle w:val="Style7"/>
        <w:widowControl/>
        <w:tabs>
          <w:tab w:val="left" w:pos="720"/>
        </w:tabs>
        <w:spacing w:line="240" w:lineRule="auto"/>
        <w:ind w:right="-1" w:firstLine="720"/>
        <w:jc w:val="center"/>
        <w:rPr>
          <w:b/>
          <w:bCs/>
          <w:sz w:val="28"/>
          <w:szCs w:val="28"/>
        </w:rPr>
      </w:pPr>
    </w:p>
    <w:p w:rsidR="00E27F60" w:rsidRPr="00B3746F" w:rsidRDefault="00E27F60" w:rsidP="00B3746F">
      <w:pPr>
        <w:pStyle w:val="Style7"/>
        <w:tabs>
          <w:tab w:val="left" w:pos="720"/>
        </w:tabs>
        <w:ind w:right="-1" w:firstLine="720"/>
        <w:jc w:val="both"/>
        <w:rPr>
          <w:bCs/>
          <w:sz w:val="28"/>
          <w:szCs w:val="28"/>
        </w:rPr>
      </w:pPr>
      <w:r w:rsidRPr="00B3746F">
        <w:rPr>
          <w:bCs/>
          <w:sz w:val="28"/>
          <w:szCs w:val="28"/>
        </w:rPr>
        <w:t>Предусмотрено, что при введении военного положения высшее должностное лицо субъекта РФ, на территории которого оно действует, вправе направить в ЦИК РФ предложение о назначении выборов, референдума в следующие сроки: в отношении выборов в органы государственной власти субъекта РФ - не ранее чем за 105 дней и не позднее чем за 95 дней до дня голосования; в отношении выборов в органы местного самоуправления - не ранее чем за 95 дней и не позднее чем за 85 дней до дня голосования; в отношении референдума субъекта РФ, местного референдума - в течение пяти дней со дня признания законодательным органом субъекта РФ либо представительным органом муниципального образования соответствия вопроса, выносимого на референдум, установленным требованиям.</w:t>
      </w:r>
    </w:p>
    <w:p w:rsidR="00E27F60" w:rsidRPr="00B3746F" w:rsidRDefault="00E27F60" w:rsidP="00B3746F">
      <w:pPr>
        <w:pStyle w:val="Style7"/>
        <w:tabs>
          <w:tab w:val="left" w:pos="720"/>
        </w:tabs>
        <w:ind w:right="-1" w:firstLine="720"/>
        <w:jc w:val="both"/>
        <w:rPr>
          <w:bCs/>
          <w:sz w:val="28"/>
          <w:szCs w:val="28"/>
        </w:rPr>
      </w:pPr>
      <w:r w:rsidRPr="00B3746F">
        <w:rPr>
          <w:bCs/>
          <w:sz w:val="28"/>
          <w:szCs w:val="28"/>
        </w:rPr>
        <w:t>В случае совмещения дней голосования на выборах разных уровней предложение о назначении выборов должно быть направлено в течение сроков, установленных для выборов более высокого уровня. Если военное положение введено на части территории РФ уже после назначения выборов или референдума, высшее должностное лицо субъекта РФ, на территории которого введено военное положение, вправе направить в ЦИК РФ предложение о проведении выборов, референдума в течение пяти дней со дня введения военного положения, но не позднее дня, предшествующего дню голосования.</w:t>
      </w:r>
    </w:p>
    <w:p w:rsidR="00E27F60" w:rsidRPr="00B3746F" w:rsidRDefault="00E27F60" w:rsidP="00B3746F">
      <w:pPr>
        <w:pStyle w:val="Style7"/>
        <w:tabs>
          <w:tab w:val="left" w:pos="720"/>
        </w:tabs>
        <w:ind w:right="-1" w:firstLine="720"/>
        <w:jc w:val="both"/>
        <w:rPr>
          <w:bCs/>
          <w:sz w:val="28"/>
          <w:szCs w:val="28"/>
        </w:rPr>
      </w:pPr>
      <w:r w:rsidRPr="00B3746F">
        <w:rPr>
          <w:bCs/>
          <w:sz w:val="28"/>
          <w:szCs w:val="28"/>
        </w:rPr>
        <w:t>ЦИК РФ проведет консультации с Минобороны, ФСБ России и высшим должностным лицом субъекта РФ, по итогам которых примет решение о назначении соответствующих выборов (в том числе с возможностью сокращения сроков избирательных действий), референдума или об отклонении предложения высшего должностного лица субъекта РФ.</w:t>
      </w:r>
    </w:p>
    <w:p w:rsidR="00E27F60" w:rsidRPr="00B3746F" w:rsidRDefault="00E27F60" w:rsidP="00B3746F">
      <w:pPr>
        <w:pStyle w:val="Style7"/>
        <w:tabs>
          <w:tab w:val="left" w:pos="720"/>
        </w:tabs>
        <w:ind w:right="-1" w:firstLine="720"/>
        <w:jc w:val="both"/>
        <w:rPr>
          <w:bCs/>
          <w:sz w:val="28"/>
          <w:szCs w:val="28"/>
        </w:rPr>
      </w:pPr>
      <w:r w:rsidRPr="00B3746F">
        <w:rPr>
          <w:bCs/>
          <w:sz w:val="28"/>
          <w:szCs w:val="28"/>
        </w:rPr>
        <w:t>Кроме этого, внесенными поправками установлено, что Федеральный закон от 05.04.2013 N 44-ФЗ "О контрактной системе в сфере закупок товаров, работ, услуг для обеспечения государственных и муниципальных нужд" не применяется также к отношениям, связанным с закупкой товаров, работ, услуг избирательными комиссиями субъектов РФ и территориальными избирательными комиссиями, осуществляемой за счет средств, выделенных из бюджетов субъектов РФ, бюджета федеральной территории на оказание содействия в подготовке и проведении выборов в федеральные органы государственной власти.</w:t>
      </w:r>
    </w:p>
    <w:p w:rsidR="00E27F60" w:rsidRPr="00B3746F" w:rsidRDefault="00E27F60" w:rsidP="00925034">
      <w:pPr>
        <w:pStyle w:val="Style7"/>
        <w:tabs>
          <w:tab w:val="left" w:pos="720"/>
        </w:tabs>
        <w:ind w:right="-1" w:firstLine="720"/>
        <w:jc w:val="both"/>
        <w:rPr>
          <w:bCs/>
          <w:sz w:val="28"/>
          <w:szCs w:val="28"/>
        </w:rPr>
      </w:pPr>
      <w:r>
        <w:t>(</w:t>
      </w:r>
      <w:bookmarkStart w:id="0" w:name="_GoBack"/>
      <w:bookmarkEnd w:id="0"/>
      <w:r w:rsidRPr="00B3746F">
        <w:rPr>
          <w:bCs/>
          <w:sz w:val="28"/>
          <w:szCs w:val="28"/>
        </w:rPr>
        <w:t>Федеральный закон от 14.11.2023 N 531-ФЗ</w:t>
      </w:r>
      <w:r>
        <w:rPr>
          <w:bCs/>
          <w:sz w:val="28"/>
          <w:szCs w:val="28"/>
        </w:rPr>
        <w:t>)</w:t>
      </w:r>
    </w:p>
    <w:p w:rsidR="00E27F60" w:rsidRDefault="00E27F60" w:rsidP="00925034">
      <w:pPr>
        <w:pStyle w:val="Style7"/>
        <w:tabs>
          <w:tab w:val="left" w:pos="720"/>
        </w:tabs>
        <w:ind w:right="-1" w:firstLine="720"/>
        <w:jc w:val="both"/>
        <w:rPr>
          <w:bCs/>
          <w:sz w:val="28"/>
          <w:szCs w:val="28"/>
        </w:rPr>
      </w:pPr>
    </w:p>
    <w:p w:rsidR="00E27F60" w:rsidRPr="00925034" w:rsidRDefault="00E27F60" w:rsidP="00925034">
      <w:pPr>
        <w:pStyle w:val="Style7"/>
        <w:tabs>
          <w:tab w:val="left" w:pos="720"/>
        </w:tabs>
        <w:ind w:right="-1" w:firstLine="720"/>
        <w:jc w:val="both"/>
        <w:rPr>
          <w:bCs/>
          <w:sz w:val="28"/>
          <w:szCs w:val="28"/>
        </w:rPr>
      </w:pPr>
    </w:p>
    <w:p w:rsidR="00E27F60" w:rsidRDefault="00E27F60" w:rsidP="000A68F4">
      <w:pPr>
        <w:spacing w:line="240" w:lineRule="exact"/>
        <w:ind w:right="-1"/>
        <w:rPr>
          <w:sz w:val="28"/>
          <w:szCs w:val="28"/>
        </w:rPr>
      </w:pPr>
      <w:r>
        <w:rPr>
          <w:sz w:val="28"/>
          <w:szCs w:val="28"/>
        </w:rPr>
        <w:t xml:space="preserve">Прокурор района </w:t>
      </w:r>
    </w:p>
    <w:p w:rsidR="00E27F60" w:rsidRPr="002D068A" w:rsidRDefault="00E27F60" w:rsidP="000A68F4">
      <w:pPr>
        <w:spacing w:line="240" w:lineRule="exact"/>
        <w:ind w:right="-1"/>
        <w:rPr>
          <w:sz w:val="28"/>
          <w:szCs w:val="28"/>
        </w:rPr>
      </w:pPr>
    </w:p>
    <w:p w:rsidR="00E27F60" w:rsidRPr="003F2ED4" w:rsidRDefault="00E27F60" w:rsidP="000A68F4">
      <w:pPr>
        <w:spacing w:line="240" w:lineRule="exact"/>
        <w:ind w:right="-1"/>
        <w:rPr>
          <w:sz w:val="18"/>
          <w:szCs w:val="18"/>
        </w:rPr>
      </w:pPr>
      <w:r>
        <w:rPr>
          <w:sz w:val="28"/>
          <w:szCs w:val="28"/>
        </w:rPr>
        <w:t>старший советник юстиции</w:t>
      </w:r>
      <w:r>
        <w:rPr>
          <w:sz w:val="28"/>
          <w:szCs w:val="28"/>
        </w:rPr>
        <w:tab/>
      </w:r>
      <w:r>
        <w:rPr>
          <w:sz w:val="28"/>
          <w:szCs w:val="28"/>
        </w:rPr>
        <w:tab/>
      </w:r>
      <w:r>
        <w:rPr>
          <w:sz w:val="28"/>
          <w:szCs w:val="28"/>
        </w:rPr>
        <w:tab/>
        <w:t xml:space="preserve">                                  А.Ю. Хачемизов</w:t>
      </w:r>
    </w:p>
    <w:p w:rsidR="00E27F60" w:rsidRDefault="00E27F60" w:rsidP="000A68F4">
      <w:pPr>
        <w:rPr>
          <w:sz w:val="18"/>
          <w:szCs w:val="18"/>
        </w:rPr>
      </w:pPr>
    </w:p>
    <w:p w:rsidR="00E27F60" w:rsidRDefault="00E27F60" w:rsidP="000A68F4">
      <w:pPr>
        <w:rPr>
          <w:sz w:val="18"/>
          <w:szCs w:val="18"/>
        </w:rPr>
      </w:pPr>
    </w:p>
    <w:p w:rsidR="00E27F60" w:rsidRDefault="00E27F60" w:rsidP="000A68F4">
      <w:pPr>
        <w:rPr>
          <w:sz w:val="18"/>
          <w:szCs w:val="18"/>
        </w:rPr>
      </w:pPr>
    </w:p>
    <w:p w:rsidR="00E27F60" w:rsidRDefault="00E27F60" w:rsidP="000A68F4">
      <w:pPr>
        <w:rPr>
          <w:sz w:val="18"/>
          <w:szCs w:val="18"/>
        </w:rPr>
      </w:pPr>
    </w:p>
    <w:p w:rsidR="00E27F60" w:rsidRDefault="00E27F60" w:rsidP="000A68F4">
      <w:pPr>
        <w:rPr>
          <w:sz w:val="18"/>
          <w:szCs w:val="18"/>
        </w:rPr>
      </w:pPr>
    </w:p>
    <w:p w:rsidR="00E27F60" w:rsidRDefault="00E27F60" w:rsidP="000A68F4">
      <w:pPr>
        <w:rPr>
          <w:sz w:val="18"/>
          <w:szCs w:val="18"/>
        </w:rPr>
      </w:pPr>
      <w:r>
        <w:rPr>
          <w:sz w:val="18"/>
          <w:szCs w:val="18"/>
        </w:rPr>
        <w:t>С.В. Афова, тел. 4-43-14</w:t>
      </w:r>
    </w:p>
    <w:sectPr w:rsidR="00E27F60" w:rsidSect="00BD68A2">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8F4"/>
    <w:rsid w:val="000977A0"/>
    <w:rsid w:val="000A68F4"/>
    <w:rsid w:val="00104797"/>
    <w:rsid w:val="001304D8"/>
    <w:rsid w:val="0019260B"/>
    <w:rsid w:val="001A7E14"/>
    <w:rsid w:val="002621EF"/>
    <w:rsid w:val="002B1CD5"/>
    <w:rsid w:val="002D068A"/>
    <w:rsid w:val="003F2ED4"/>
    <w:rsid w:val="0048160A"/>
    <w:rsid w:val="0057439D"/>
    <w:rsid w:val="005923E7"/>
    <w:rsid w:val="005A6FDD"/>
    <w:rsid w:val="005F7D9B"/>
    <w:rsid w:val="006A6EBD"/>
    <w:rsid w:val="006B2FF9"/>
    <w:rsid w:val="006D7332"/>
    <w:rsid w:val="00764548"/>
    <w:rsid w:val="007B2D55"/>
    <w:rsid w:val="007C6228"/>
    <w:rsid w:val="00803DBC"/>
    <w:rsid w:val="00925034"/>
    <w:rsid w:val="00B3746F"/>
    <w:rsid w:val="00B703EE"/>
    <w:rsid w:val="00BD68A2"/>
    <w:rsid w:val="00C910FD"/>
    <w:rsid w:val="00D31415"/>
    <w:rsid w:val="00D46A24"/>
    <w:rsid w:val="00D5154C"/>
    <w:rsid w:val="00D73415"/>
    <w:rsid w:val="00D76BC3"/>
    <w:rsid w:val="00DE1FCA"/>
    <w:rsid w:val="00E00E23"/>
    <w:rsid w:val="00E27F60"/>
    <w:rsid w:val="00F15B3D"/>
    <w:rsid w:val="00F469C6"/>
    <w:rsid w:val="00F65F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F4"/>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uiPriority w:val="99"/>
    <w:rsid w:val="000A68F4"/>
    <w:pPr>
      <w:widowControl w:val="0"/>
      <w:autoSpaceDE w:val="0"/>
      <w:autoSpaceDN w:val="0"/>
      <w:adjustRightInd w:val="0"/>
      <w:spacing w:line="326" w:lineRule="exact"/>
      <w:ind w:hanging="350"/>
    </w:pPr>
  </w:style>
  <w:style w:type="paragraph" w:styleId="NormalWeb">
    <w:name w:val="Normal (Web)"/>
    <w:basedOn w:val="Normal"/>
    <w:uiPriority w:val="99"/>
    <w:rsid w:val="002B1CD5"/>
    <w:pPr>
      <w:spacing w:before="100" w:beforeAutospacing="1" w:after="100" w:afterAutospacing="1"/>
    </w:pPr>
  </w:style>
  <w:style w:type="character" w:customStyle="1" w:styleId="apple-converted-space">
    <w:name w:val="apple-converted-space"/>
    <w:basedOn w:val="DefaultParagraphFont"/>
    <w:uiPriority w:val="99"/>
    <w:rsid w:val="002B1CD5"/>
    <w:rPr>
      <w:rFonts w:cs="Times New Roman"/>
    </w:rPr>
  </w:style>
  <w:style w:type="character" w:styleId="Hyperlink">
    <w:name w:val="Hyperlink"/>
    <w:basedOn w:val="DefaultParagraphFont"/>
    <w:uiPriority w:val="99"/>
    <w:rsid w:val="002B1CD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51337099">
      <w:marLeft w:val="0"/>
      <w:marRight w:val="0"/>
      <w:marTop w:val="0"/>
      <w:marBottom w:val="0"/>
      <w:divBdr>
        <w:top w:val="none" w:sz="0" w:space="0" w:color="auto"/>
        <w:left w:val="none" w:sz="0" w:space="0" w:color="auto"/>
        <w:bottom w:val="none" w:sz="0" w:space="0" w:color="auto"/>
        <w:right w:val="none" w:sz="0" w:space="0" w:color="auto"/>
      </w:divBdr>
    </w:div>
    <w:div w:id="851337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476</Words>
  <Characters>2716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Прокуратура Кабардино-Балкарской</dc:title>
  <dc:subject/>
  <dc:creator>Ленок</dc:creator>
  <cp:keywords/>
  <dc:description/>
  <cp:lastModifiedBy>А</cp:lastModifiedBy>
  <cp:revision>2</cp:revision>
  <dcterms:created xsi:type="dcterms:W3CDTF">2023-12-07T08:10:00Z</dcterms:created>
  <dcterms:modified xsi:type="dcterms:W3CDTF">2023-12-07T08:10:00Z</dcterms:modified>
</cp:coreProperties>
</file>